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A6" w:rsidRDefault="007978A6" w:rsidP="007978A6">
      <w:pPr>
        <w:pStyle w:val="Nagwek1"/>
      </w:pPr>
      <w:r w:rsidRPr="007978A6">
        <w:t xml:space="preserve">Metodologia delimitacji obszaru zdegradowanego </w:t>
      </w:r>
      <w:r>
        <w:br/>
      </w:r>
      <w:r w:rsidRPr="007978A6">
        <w:t>i obszaru rewitalizacji</w:t>
      </w:r>
    </w:p>
    <w:p w:rsidR="007978A6" w:rsidRDefault="007978A6" w:rsidP="000E20FE">
      <w:pPr>
        <w:jc w:val="both"/>
      </w:pPr>
      <w:r>
        <w:t>Łódź, 1.02.2016</w:t>
      </w:r>
    </w:p>
    <w:p w:rsidR="007978A6" w:rsidRDefault="007978A6" w:rsidP="000E20FE">
      <w:pPr>
        <w:jc w:val="both"/>
      </w:pPr>
    </w:p>
    <w:p w:rsidR="007978A6" w:rsidRDefault="007978A6" w:rsidP="000E20FE">
      <w:pPr>
        <w:jc w:val="both"/>
      </w:pPr>
    </w:p>
    <w:p w:rsidR="000E20FE" w:rsidRDefault="002E592F" w:rsidP="000E20FE">
      <w:pPr>
        <w:jc w:val="both"/>
      </w:pPr>
      <w:r>
        <w:t xml:space="preserve">Metodologia delimitacji obszaru zdegradowanego i obszaru rewitalizacji </w:t>
      </w:r>
      <w:r w:rsidR="00EC3694">
        <w:t xml:space="preserve">oparta była o wymagania ustawy o rewitalizacji. Na podstawie map dołączonych przestrzennego rozkładu zjawisk dołączonych do </w:t>
      </w:r>
      <w:r w:rsidR="00EC3694" w:rsidRPr="00182CB8">
        <w:rPr>
          <w:i/>
        </w:rPr>
        <w:t>Polityki Społecznej dla Łodzi 2020+</w:t>
      </w:r>
      <w:r w:rsidR="009D1B11">
        <w:t xml:space="preserve"> dokonano analizy głównych problemów, o których mowa w art. </w:t>
      </w:r>
      <w:r w:rsidR="000E20FE">
        <w:t xml:space="preserve">9 ustawy. </w:t>
      </w:r>
    </w:p>
    <w:p w:rsidR="000E20FE" w:rsidRDefault="004F1432" w:rsidP="000E20FE">
      <w:pPr>
        <w:jc w:val="both"/>
      </w:pPr>
      <w:r>
        <w:t>W pierwszym kroku d</w:t>
      </w:r>
      <w:r w:rsidR="000E20FE">
        <w:t xml:space="preserve">okonano analizy rozmieszczenia </w:t>
      </w:r>
      <w:r w:rsidR="000E20FE" w:rsidRPr="004F1432">
        <w:rPr>
          <w:b/>
        </w:rPr>
        <w:t>negatywnych zjawisk społecznych</w:t>
      </w:r>
      <w:r w:rsidR="000E20FE">
        <w:t>, w szczególności bezrobocia, ubóstwa, przestępczości, niskiego poziomu edukacji lub kapitału społecznego, a także niewystarczającego poziomu uczestnictwa w życiu publicznym i kulturalnym</w:t>
      </w:r>
      <w:r w:rsidR="000E20FE">
        <w:t xml:space="preserve">. Dla potrzeb wyznaczenia obszaru zdegradowanego przyjęto następujące </w:t>
      </w:r>
      <w:r w:rsidR="00AC3215">
        <w:t xml:space="preserve">wartości, inspirując się brytyjskim indeksem </w:t>
      </w:r>
      <w:r w:rsidR="00AC3215" w:rsidRPr="00AC3215">
        <w:t>deprywacji</w:t>
      </w:r>
      <w:r w:rsidR="00AC3215">
        <w:t xml:space="preserve"> (Index of </w:t>
      </w:r>
      <w:proofErr w:type="spellStart"/>
      <w:r w:rsidR="00AC3215">
        <w:t>Multiple</w:t>
      </w:r>
      <w:proofErr w:type="spellEnd"/>
      <w:r w:rsidR="00AC3215">
        <w:t xml:space="preserve"> </w:t>
      </w:r>
      <w:proofErr w:type="spellStart"/>
      <w:r w:rsidR="00AC3215">
        <w:t>Dep</w:t>
      </w:r>
      <w:bookmarkStart w:id="0" w:name="_GoBack"/>
      <w:bookmarkEnd w:id="0"/>
      <w:r w:rsidR="00AC3215">
        <w:t>rivation</w:t>
      </w:r>
      <w:proofErr w:type="spellEnd"/>
      <w:r w:rsidR="00182CB8">
        <w:rPr>
          <w:rStyle w:val="Odwoanieprzypisudolnego"/>
        </w:rPr>
        <w:footnoteReference w:id="1"/>
      </w:r>
      <w:r w:rsidR="00AC3215">
        <w:t>):</w:t>
      </w:r>
    </w:p>
    <w:p w:rsidR="00AC3215" w:rsidRDefault="00AC3215" w:rsidP="000E20FE">
      <w:pPr>
        <w:jc w:val="both"/>
      </w:pPr>
      <w:r>
        <w:t xml:space="preserve">1. Bezrobocie: </w:t>
      </w:r>
      <w:r w:rsidR="00182CB8">
        <w:t xml:space="preserve">waga </w:t>
      </w:r>
      <w:r>
        <w:t>30%</w:t>
      </w:r>
      <w:r w:rsidR="00182CB8">
        <w:t>, n</w:t>
      </w:r>
      <w:r>
        <w:t>a podstawie map</w:t>
      </w:r>
      <w:r w:rsidR="00182CB8">
        <w:rPr>
          <w:rStyle w:val="Odwoanieprzypisudolnego"/>
        </w:rPr>
        <w:footnoteReference w:id="2"/>
      </w:r>
      <w:r>
        <w:t xml:space="preserve">: </w:t>
      </w:r>
    </w:p>
    <w:p w:rsidR="00AC3215" w:rsidRPr="00476B37" w:rsidRDefault="00AC3215" w:rsidP="00AC3215">
      <w:pPr>
        <w:numPr>
          <w:ilvl w:val="0"/>
          <w:numId w:val="4"/>
        </w:numPr>
        <w:spacing w:after="0" w:line="320" w:lineRule="atLeast"/>
        <w:rPr>
          <w:rFonts w:ascii="Calibri" w:hAnsi="Calibri"/>
        </w:rPr>
      </w:pPr>
      <w:r w:rsidRPr="00476B37">
        <w:rPr>
          <w:rFonts w:ascii="Calibri" w:hAnsi="Calibri"/>
        </w:rPr>
        <w:t xml:space="preserve">Natężenie i rozmieszczenie osób bezrobotnych – dane MOPS – </w:t>
      </w:r>
      <w:r w:rsidRPr="00476B37">
        <w:rPr>
          <w:rStyle w:val="object"/>
          <w:rFonts w:ascii="Calibri" w:hAnsi="Calibri"/>
        </w:rPr>
        <w:t>grudzień 2015</w:t>
      </w:r>
      <w:r w:rsidRPr="00476B37">
        <w:rPr>
          <w:rFonts w:ascii="Calibri" w:hAnsi="Calibri"/>
        </w:rPr>
        <w:t xml:space="preserve"> r.;</w:t>
      </w:r>
    </w:p>
    <w:p w:rsidR="00AC3215" w:rsidRPr="00476B37" w:rsidRDefault="00AC3215" w:rsidP="00AC3215">
      <w:pPr>
        <w:numPr>
          <w:ilvl w:val="0"/>
          <w:numId w:val="4"/>
        </w:numPr>
        <w:spacing w:after="0" w:line="320" w:lineRule="atLeast"/>
        <w:ind w:right="-108"/>
        <w:rPr>
          <w:rFonts w:ascii="Calibri" w:hAnsi="Calibri"/>
        </w:rPr>
      </w:pPr>
      <w:r w:rsidRPr="00476B37">
        <w:rPr>
          <w:rFonts w:ascii="Calibri" w:hAnsi="Calibri"/>
        </w:rPr>
        <w:t xml:space="preserve">Natężenie i rozmieszczenie osób trwale bezrobotnych – dane MOPS – </w:t>
      </w:r>
      <w:r w:rsidRPr="00476B37">
        <w:rPr>
          <w:rStyle w:val="object"/>
          <w:rFonts w:ascii="Calibri" w:hAnsi="Calibri"/>
        </w:rPr>
        <w:t>grudzień 2015</w:t>
      </w:r>
      <w:r w:rsidRPr="00476B37">
        <w:rPr>
          <w:rFonts w:ascii="Calibri" w:hAnsi="Calibri"/>
        </w:rPr>
        <w:t xml:space="preserve"> r.;</w:t>
      </w:r>
    </w:p>
    <w:p w:rsidR="00182CB8" w:rsidRDefault="00182CB8" w:rsidP="000E20FE">
      <w:pPr>
        <w:jc w:val="both"/>
      </w:pPr>
    </w:p>
    <w:p w:rsidR="00AC3215" w:rsidRDefault="00AC3215" w:rsidP="000E20FE">
      <w:pPr>
        <w:jc w:val="both"/>
      </w:pPr>
      <w:r>
        <w:t xml:space="preserve">2. Ubóstwo: </w:t>
      </w:r>
      <w:r w:rsidR="00182CB8">
        <w:t xml:space="preserve">waga </w:t>
      </w:r>
      <w:r>
        <w:t>35%</w:t>
      </w:r>
      <w:r w:rsidR="00182CB8" w:rsidRPr="00182CB8">
        <w:t>, na podstawie map:</w:t>
      </w:r>
    </w:p>
    <w:p w:rsidR="00182CB8" w:rsidRPr="00476B37" w:rsidRDefault="00182CB8" w:rsidP="00182CB8">
      <w:pPr>
        <w:numPr>
          <w:ilvl w:val="0"/>
          <w:numId w:val="3"/>
        </w:numPr>
        <w:spacing w:after="0" w:line="320" w:lineRule="atLeast"/>
        <w:rPr>
          <w:rFonts w:ascii="Calibri" w:hAnsi="Calibri"/>
        </w:rPr>
      </w:pPr>
      <w:r w:rsidRPr="00476B37">
        <w:rPr>
          <w:rFonts w:ascii="Calibri" w:hAnsi="Calibri"/>
        </w:rPr>
        <w:t xml:space="preserve">Rozkład i ilość zasiłków stałych – dane MOPS – </w:t>
      </w:r>
      <w:r w:rsidRPr="00476B37">
        <w:rPr>
          <w:rStyle w:val="object"/>
          <w:rFonts w:ascii="Calibri" w:hAnsi="Calibri"/>
        </w:rPr>
        <w:t>grudzień 2015</w:t>
      </w:r>
      <w:r w:rsidRPr="00476B37">
        <w:rPr>
          <w:rFonts w:ascii="Calibri" w:hAnsi="Calibri"/>
        </w:rPr>
        <w:t xml:space="preserve"> r.;</w:t>
      </w:r>
    </w:p>
    <w:p w:rsidR="00182CB8" w:rsidRPr="00476B37" w:rsidRDefault="00182CB8" w:rsidP="00182CB8">
      <w:pPr>
        <w:numPr>
          <w:ilvl w:val="0"/>
          <w:numId w:val="3"/>
        </w:numPr>
        <w:spacing w:after="0" w:line="320" w:lineRule="atLeast"/>
        <w:rPr>
          <w:rFonts w:ascii="Calibri" w:hAnsi="Calibri"/>
        </w:rPr>
      </w:pPr>
      <w:r w:rsidRPr="00476B37">
        <w:rPr>
          <w:rFonts w:ascii="Calibri" w:hAnsi="Calibri"/>
        </w:rPr>
        <w:t xml:space="preserve">Rozkład i ilość zasiłków okresowych – dane MOPS – </w:t>
      </w:r>
      <w:r w:rsidRPr="00476B37">
        <w:rPr>
          <w:rStyle w:val="object"/>
          <w:rFonts w:ascii="Calibri" w:hAnsi="Calibri"/>
        </w:rPr>
        <w:t>grudzień 2015</w:t>
      </w:r>
      <w:r w:rsidRPr="00476B37">
        <w:rPr>
          <w:rFonts w:ascii="Calibri" w:hAnsi="Calibri"/>
        </w:rPr>
        <w:t xml:space="preserve"> r.;</w:t>
      </w:r>
    </w:p>
    <w:p w:rsidR="00182CB8" w:rsidRPr="00476B37" w:rsidRDefault="00182CB8" w:rsidP="00182CB8">
      <w:pPr>
        <w:numPr>
          <w:ilvl w:val="0"/>
          <w:numId w:val="3"/>
        </w:numPr>
        <w:spacing w:after="0" w:line="320" w:lineRule="atLeast"/>
        <w:rPr>
          <w:rFonts w:ascii="Calibri" w:hAnsi="Calibri"/>
        </w:rPr>
      </w:pPr>
      <w:r w:rsidRPr="00476B37">
        <w:rPr>
          <w:rFonts w:ascii="Calibri" w:hAnsi="Calibri"/>
        </w:rPr>
        <w:t xml:space="preserve">Ilość zasiłków okresowych na 100 mieszkańców – dane MOPS – </w:t>
      </w:r>
      <w:r w:rsidRPr="00476B37">
        <w:rPr>
          <w:rStyle w:val="object"/>
          <w:rFonts w:ascii="Calibri" w:hAnsi="Calibri"/>
        </w:rPr>
        <w:t>grudzień 2015</w:t>
      </w:r>
      <w:r w:rsidRPr="00476B37">
        <w:rPr>
          <w:rFonts w:ascii="Calibri" w:hAnsi="Calibri"/>
        </w:rPr>
        <w:t xml:space="preserve"> r.;</w:t>
      </w:r>
    </w:p>
    <w:p w:rsidR="00182CB8" w:rsidRPr="00476B37" w:rsidRDefault="00182CB8" w:rsidP="00182CB8">
      <w:pPr>
        <w:numPr>
          <w:ilvl w:val="0"/>
          <w:numId w:val="3"/>
        </w:numPr>
        <w:spacing w:after="0" w:line="320" w:lineRule="atLeast"/>
        <w:rPr>
          <w:rFonts w:ascii="Calibri" w:hAnsi="Calibri"/>
        </w:rPr>
      </w:pPr>
      <w:r w:rsidRPr="00476B37">
        <w:rPr>
          <w:rFonts w:ascii="Calibri" w:hAnsi="Calibri"/>
        </w:rPr>
        <w:t xml:space="preserve">Rozkład i ilość zasiłków celowych – dane MOPS – </w:t>
      </w:r>
      <w:r w:rsidRPr="00476B37">
        <w:rPr>
          <w:rStyle w:val="object"/>
          <w:rFonts w:ascii="Calibri" w:hAnsi="Calibri"/>
        </w:rPr>
        <w:t>grudzień 2015</w:t>
      </w:r>
      <w:r w:rsidRPr="00476B37">
        <w:rPr>
          <w:rFonts w:ascii="Calibri" w:hAnsi="Calibri"/>
        </w:rPr>
        <w:t xml:space="preserve"> r.;</w:t>
      </w:r>
    </w:p>
    <w:p w:rsidR="00182CB8" w:rsidRPr="00476B37" w:rsidRDefault="00182CB8" w:rsidP="00182CB8">
      <w:pPr>
        <w:numPr>
          <w:ilvl w:val="0"/>
          <w:numId w:val="3"/>
        </w:numPr>
        <w:spacing w:after="0" w:line="320" w:lineRule="atLeast"/>
        <w:rPr>
          <w:rFonts w:ascii="Calibri" w:hAnsi="Calibri"/>
        </w:rPr>
      </w:pPr>
      <w:r w:rsidRPr="00476B37">
        <w:rPr>
          <w:rFonts w:ascii="Calibri" w:hAnsi="Calibri"/>
        </w:rPr>
        <w:t xml:space="preserve">Rozkład i ilość dożywiania – dane MOPS – </w:t>
      </w:r>
      <w:r w:rsidRPr="00476B37">
        <w:rPr>
          <w:rStyle w:val="object"/>
          <w:rFonts w:ascii="Calibri" w:hAnsi="Calibri"/>
        </w:rPr>
        <w:t>grudzień 2015</w:t>
      </w:r>
      <w:r w:rsidRPr="00476B37">
        <w:rPr>
          <w:rFonts w:ascii="Calibri" w:hAnsi="Calibri"/>
        </w:rPr>
        <w:t xml:space="preserve"> r.;</w:t>
      </w:r>
    </w:p>
    <w:p w:rsidR="00182CB8" w:rsidRPr="00476B37" w:rsidRDefault="00182CB8" w:rsidP="00182CB8">
      <w:pPr>
        <w:numPr>
          <w:ilvl w:val="0"/>
          <w:numId w:val="3"/>
        </w:numPr>
        <w:spacing w:after="0" w:line="320" w:lineRule="atLeast"/>
        <w:rPr>
          <w:rFonts w:ascii="Calibri" w:hAnsi="Calibri"/>
        </w:rPr>
      </w:pPr>
      <w:r w:rsidRPr="00476B37">
        <w:rPr>
          <w:rFonts w:ascii="Calibri" w:hAnsi="Calibri"/>
        </w:rPr>
        <w:t xml:space="preserve">Ilość zasiłków na dożywianie na 100 mieszkańców – dane MOPS – </w:t>
      </w:r>
      <w:r w:rsidRPr="00476B37">
        <w:rPr>
          <w:rStyle w:val="object"/>
          <w:rFonts w:ascii="Calibri" w:hAnsi="Calibri"/>
        </w:rPr>
        <w:t>grudzień 2015</w:t>
      </w:r>
      <w:r w:rsidRPr="00476B37">
        <w:rPr>
          <w:rFonts w:ascii="Calibri" w:hAnsi="Calibri"/>
        </w:rPr>
        <w:t xml:space="preserve"> r.;</w:t>
      </w:r>
    </w:p>
    <w:p w:rsidR="00182CB8" w:rsidRDefault="00182CB8" w:rsidP="00182CB8">
      <w:pPr>
        <w:numPr>
          <w:ilvl w:val="0"/>
          <w:numId w:val="3"/>
        </w:numPr>
        <w:spacing w:after="0" w:line="320" w:lineRule="atLeast"/>
        <w:rPr>
          <w:rFonts w:ascii="Calibri" w:hAnsi="Calibri"/>
        </w:rPr>
      </w:pPr>
      <w:r w:rsidRPr="00476B37">
        <w:rPr>
          <w:rFonts w:ascii="Calibri" w:hAnsi="Calibri"/>
        </w:rPr>
        <w:t xml:space="preserve">Suma zadłużeń lokali mieszkalnych komunalnych – dane z Wydziału Budynków i Lokali, Departament Gospodarowania Majątkiem UMŁ – </w:t>
      </w:r>
      <w:r w:rsidRPr="00476B37">
        <w:rPr>
          <w:rStyle w:val="object"/>
          <w:rFonts w:ascii="Calibri" w:hAnsi="Calibri"/>
        </w:rPr>
        <w:t>grudzień 2015</w:t>
      </w:r>
      <w:r w:rsidRPr="00476B37">
        <w:rPr>
          <w:rFonts w:ascii="Calibri" w:hAnsi="Calibri"/>
        </w:rPr>
        <w:t xml:space="preserve"> r.;</w:t>
      </w:r>
    </w:p>
    <w:p w:rsidR="00AC3215" w:rsidRPr="00182CB8" w:rsidRDefault="00AC3215" w:rsidP="00182CB8">
      <w:pPr>
        <w:spacing w:after="0" w:line="320" w:lineRule="atLeast"/>
        <w:ind w:left="360"/>
        <w:rPr>
          <w:rFonts w:ascii="Calibri" w:hAnsi="Calibri"/>
        </w:rPr>
      </w:pPr>
    </w:p>
    <w:p w:rsidR="00AC3215" w:rsidRDefault="00AC3215" w:rsidP="000E20FE">
      <w:pPr>
        <w:jc w:val="both"/>
      </w:pPr>
      <w:r>
        <w:t xml:space="preserve">3. Przestępczość: </w:t>
      </w:r>
      <w:r w:rsidR="00182CB8">
        <w:t xml:space="preserve">waga </w:t>
      </w:r>
      <w:r>
        <w:t>10%</w:t>
      </w:r>
      <w:r w:rsidR="00182CB8" w:rsidRPr="00182CB8">
        <w:t>, na podstawie map:</w:t>
      </w:r>
    </w:p>
    <w:p w:rsidR="00182CB8" w:rsidRPr="00476B37" w:rsidRDefault="00182CB8" w:rsidP="00182CB8">
      <w:pPr>
        <w:numPr>
          <w:ilvl w:val="0"/>
          <w:numId w:val="5"/>
        </w:numPr>
        <w:spacing w:after="0" w:line="320" w:lineRule="atLeast"/>
        <w:rPr>
          <w:rFonts w:ascii="Calibri" w:hAnsi="Calibri"/>
        </w:rPr>
      </w:pPr>
      <w:r w:rsidRPr="00476B37">
        <w:rPr>
          <w:rFonts w:ascii="Calibri" w:hAnsi="Calibri"/>
        </w:rPr>
        <w:t>Wykroczenia III kwartał 2015 r. – dane ze Straży Miejskiej – grudzień 2015 r.;</w:t>
      </w:r>
    </w:p>
    <w:p w:rsidR="00182CB8" w:rsidRPr="00476B37" w:rsidRDefault="00182CB8" w:rsidP="00182CB8">
      <w:pPr>
        <w:numPr>
          <w:ilvl w:val="0"/>
          <w:numId w:val="5"/>
        </w:numPr>
        <w:spacing w:after="0" w:line="320" w:lineRule="atLeast"/>
        <w:rPr>
          <w:rFonts w:ascii="Calibri" w:hAnsi="Calibri"/>
        </w:rPr>
      </w:pPr>
      <w:r w:rsidRPr="00476B37">
        <w:rPr>
          <w:rFonts w:ascii="Calibri" w:hAnsi="Calibri"/>
        </w:rPr>
        <w:t xml:space="preserve">Niebieskie karty – dane MOPS – </w:t>
      </w:r>
      <w:r w:rsidRPr="00476B37">
        <w:rPr>
          <w:rStyle w:val="object"/>
          <w:rFonts w:ascii="Calibri" w:hAnsi="Calibri"/>
        </w:rPr>
        <w:t>grudzień 2015</w:t>
      </w:r>
      <w:r w:rsidRPr="00476B37">
        <w:rPr>
          <w:rFonts w:ascii="Calibri" w:hAnsi="Calibri"/>
        </w:rPr>
        <w:t xml:space="preserve"> r.;</w:t>
      </w:r>
    </w:p>
    <w:p w:rsidR="00182CB8" w:rsidRPr="00476B37" w:rsidRDefault="00182CB8" w:rsidP="00182CB8">
      <w:pPr>
        <w:numPr>
          <w:ilvl w:val="0"/>
          <w:numId w:val="5"/>
        </w:numPr>
        <w:spacing w:after="0" w:line="320" w:lineRule="atLeast"/>
        <w:rPr>
          <w:rFonts w:ascii="Calibri" w:hAnsi="Calibri"/>
        </w:rPr>
      </w:pPr>
      <w:r w:rsidRPr="00476B37">
        <w:rPr>
          <w:rFonts w:ascii="Calibri" w:hAnsi="Calibri"/>
        </w:rPr>
        <w:t>Liczba zdarzeń – źródło: z Wydziału Prewencji KMP Łódź – grudzień 2015 r.;</w:t>
      </w:r>
    </w:p>
    <w:p w:rsidR="00182CB8" w:rsidRPr="00476B37" w:rsidRDefault="00182CB8" w:rsidP="00182CB8">
      <w:pPr>
        <w:numPr>
          <w:ilvl w:val="0"/>
          <w:numId w:val="5"/>
        </w:numPr>
        <w:spacing w:after="0" w:line="320" w:lineRule="atLeast"/>
        <w:rPr>
          <w:rFonts w:ascii="Calibri" w:hAnsi="Calibri"/>
        </w:rPr>
      </w:pPr>
      <w:r w:rsidRPr="00476B37">
        <w:rPr>
          <w:rFonts w:ascii="Calibri" w:hAnsi="Calibri"/>
        </w:rPr>
        <w:t>Liczba interwencji – źródło: z Wydziału Prewencji KMP Łódź – grudzień 2015 r.;</w:t>
      </w:r>
    </w:p>
    <w:p w:rsidR="00182CB8" w:rsidRDefault="00182CB8" w:rsidP="00182CB8">
      <w:pPr>
        <w:numPr>
          <w:ilvl w:val="0"/>
          <w:numId w:val="5"/>
        </w:numPr>
        <w:spacing w:after="0" w:line="320" w:lineRule="atLeast"/>
        <w:rPr>
          <w:rFonts w:ascii="Calibri" w:hAnsi="Calibri"/>
        </w:rPr>
      </w:pPr>
      <w:r w:rsidRPr="00476B37">
        <w:rPr>
          <w:rFonts w:ascii="Calibri" w:hAnsi="Calibri"/>
        </w:rPr>
        <w:t>Liczby wszczętych spraw w ramach procedury „Niebieska Karta” – źródło: z Wydziału Prewencji KMP Łódź – grudzień 2015 r.;</w:t>
      </w:r>
    </w:p>
    <w:p w:rsidR="00182CB8" w:rsidRPr="00182CB8" w:rsidRDefault="00182CB8" w:rsidP="00182CB8">
      <w:pPr>
        <w:spacing w:after="0" w:line="320" w:lineRule="atLeast"/>
        <w:ind w:left="360"/>
        <w:rPr>
          <w:rFonts w:ascii="Calibri" w:hAnsi="Calibri"/>
        </w:rPr>
      </w:pPr>
    </w:p>
    <w:p w:rsidR="00AC3215" w:rsidRDefault="00AC3215" w:rsidP="000E20FE">
      <w:pPr>
        <w:jc w:val="both"/>
      </w:pPr>
      <w:r>
        <w:t xml:space="preserve">4. Niski poziom edukacji </w:t>
      </w:r>
      <w:r w:rsidRPr="00AC3215">
        <w:t>lub kapitału społecznego</w:t>
      </w:r>
      <w:r>
        <w:t xml:space="preserve">: </w:t>
      </w:r>
      <w:r w:rsidR="00182CB8">
        <w:t xml:space="preserve">waga </w:t>
      </w:r>
      <w:r>
        <w:t>15%</w:t>
      </w:r>
      <w:r w:rsidR="00182CB8" w:rsidRPr="00182CB8">
        <w:t>, na podstawie map:</w:t>
      </w:r>
    </w:p>
    <w:p w:rsidR="00182CB8" w:rsidRPr="00275065" w:rsidRDefault="00182CB8" w:rsidP="00275065">
      <w:pPr>
        <w:pStyle w:val="Akapitzlist"/>
        <w:numPr>
          <w:ilvl w:val="0"/>
          <w:numId w:val="6"/>
        </w:numPr>
        <w:spacing w:after="0" w:line="320" w:lineRule="atLeast"/>
        <w:rPr>
          <w:rFonts w:ascii="Calibri" w:hAnsi="Calibri"/>
        </w:rPr>
      </w:pPr>
      <w:r w:rsidRPr="00275065">
        <w:rPr>
          <w:rFonts w:ascii="Calibri" w:hAnsi="Calibri"/>
        </w:rPr>
        <w:t xml:space="preserve">Średnie wyniki egzaminów w Szkołach Podstawowych w 2014-2015 r. – dane z Wydziału  Edukacji, Departament Spraw Społecznych UMŁ – </w:t>
      </w:r>
      <w:r w:rsidRPr="00275065">
        <w:rPr>
          <w:rStyle w:val="object"/>
          <w:rFonts w:ascii="Calibri" w:hAnsi="Calibri"/>
        </w:rPr>
        <w:t>grudzień 2015</w:t>
      </w:r>
      <w:r w:rsidRPr="00275065">
        <w:rPr>
          <w:rFonts w:ascii="Calibri" w:hAnsi="Calibri"/>
        </w:rPr>
        <w:t xml:space="preserve"> r.</w:t>
      </w:r>
      <w:r w:rsidR="004F1432">
        <w:rPr>
          <w:rFonts w:ascii="Calibri" w:hAnsi="Calibri"/>
        </w:rPr>
        <w:t xml:space="preserve"> (wyniki szkół i poszczególnych uczniów w odniesieniu do miejsca zamieszkania)</w:t>
      </w:r>
      <w:r w:rsidRPr="00275065">
        <w:rPr>
          <w:rFonts w:ascii="Calibri" w:hAnsi="Calibri"/>
        </w:rPr>
        <w:t>;</w:t>
      </w:r>
    </w:p>
    <w:p w:rsidR="00182CB8" w:rsidRPr="00275065" w:rsidRDefault="00182CB8" w:rsidP="004F1432">
      <w:pPr>
        <w:pStyle w:val="Akapitzlist"/>
        <w:numPr>
          <w:ilvl w:val="0"/>
          <w:numId w:val="6"/>
        </w:numPr>
        <w:spacing w:after="0" w:line="320" w:lineRule="atLeast"/>
        <w:rPr>
          <w:rFonts w:ascii="Calibri" w:hAnsi="Calibri"/>
        </w:rPr>
      </w:pPr>
      <w:r w:rsidRPr="00275065">
        <w:rPr>
          <w:rFonts w:ascii="Calibri" w:hAnsi="Calibri"/>
        </w:rPr>
        <w:t xml:space="preserve">Średnie wyniki egzaminu gimnazjalnego z języka polskiego w 2014-2015 r. w Gimnazjach – dane z Wydziału Edukacji, Departament Spraw Społecznych UMŁ – </w:t>
      </w:r>
      <w:r w:rsidRPr="00275065">
        <w:rPr>
          <w:rStyle w:val="object"/>
          <w:rFonts w:ascii="Calibri" w:hAnsi="Calibri"/>
        </w:rPr>
        <w:t>grudzień  2015</w:t>
      </w:r>
      <w:r w:rsidRPr="00275065">
        <w:rPr>
          <w:rFonts w:ascii="Calibri" w:hAnsi="Calibri"/>
        </w:rPr>
        <w:t xml:space="preserve"> r.</w:t>
      </w:r>
      <w:r w:rsidR="004F1432" w:rsidRPr="004F1432">
        <w:t xml:space="preserve"> </w:t>
      </w:r>
      <w:r w:rsidR="004F1432" w:rsidRPr="004F1432">
        <w:rPr>
          <w:rFonts w:ascii="Calibri" w:hAnsi="Calibri"/>
        </w:rPr>
        <w:t>(wyniki szkół i poszczególnych uczniów w odniesieniu do miejsca zamieszkania);</w:t>
      </w:r>
    </w:p>
    <w:p w:rsidR="00182CB8" w:rsidRPr="00275065" w:rsidRDefault="00182CB8" w:rsidP="004F1432">
      <w:pPr>
        <w:pStyle w:val="Akapitzlist"/>
        <w:numPr>
          <w:ilvl w:val="0"/>
          <w:numId w:val="6"/>
        </w:numPr>
        <w:spacing w:after="0" w:line="320" w:lineRule="atLeast"/>
        <w:ind w:right="-142"/>
        <w:rPr>
          <w:rFonts w:ascii="Calibri" w:hAnsi="Calibri"/>
        </w:rPr>
      </w:pPr>
      <w:r w:rsidRPr="00275065">
        <w:rPr>
          <w:rFonts w:ascii="Calibri" w:hAnsi="Calibri"/>
        </w:rPr>
        <w:t xml:space="preserve">Średnie wyniki egzaminu gimnazjalnego z matematyki w 2014-2015 r. w Gimnazjach – dane z Wydziału Edukacji, Departament Spraw Społecznych UMŁ – </w:t>
      </w:r>
      <w:r w:rsidRPr="00275065">
        <w:rPr>
          <w:rStyle w:val="object"/>
          <w:rFonts w:ascii="Calibri" w:hAnsi="Calibri"/>
        </w:rPr>
        <w:t>grudzień 2015</w:t>
      </w:r>
      <w:r w:rsidRPr="00275065">
        <w:rPr>
          <w:rFonts w:ascii="Calibri" w:hAnsi="Calibri"/>
        </w:rPr>
        <w:t xml:space="preserve"> r.</w:t>
      </w:r>
      <w:r w:rsidR="004F1432" w:rsidRPr="004F1432">
        <w:t xml:space="preserve"> </w:t>
      </w:r>
      <w:r w:rsidR="004F1432" w:rsidRPr="004F1432">
        <w:rPr>
          <w:rFonts w:ascii="Calibri" w:hAnsi="Calibri"/>
        </w:rPr>
        <w:t>(wyniki szkół i poszczególnych uczniów w odniesieniu do miejsca zamieszkania);</w:t>
      </w:r>
    </w:p>
    <w:p w:rsidR="00182CB8" w:rsidRPr="00275065" w:rsidRDefault="00182CB8" w:rsidP="004F1432">
      <w:pPr>
        <w:pStyle w:val="Akapitzlist"/>
        <w:numPr>
          <w:ilvl w:val="0"/>
          <w:numId w:val="6"/>
        </w:numPr>
        <w:spacing w:after="0" w:line="320" w:lineRule="atLeast"/>
        <w:ind w:right="-142"/>
        <w:rPr>
          <w:rFonts w:ascii="Calibri" w:hAnsi="Calibri"/>
        </w:rPr>
      </w:pPr>
      <w:r w:rsidRPr="00275065">
        <w:rPr>
          <w:rFonts w:ascii="Calibri" w:hAnsi="Calibri"/>
        </w:rPr>
        <w:t xml:space="preserve">Średnie wyniki egzaminu gimnazjalnego z przedmiotów przyrodniczych w 2014-2015 r. w Gimnazjach – dane z Wydziału Edukacji, Departament Spraw Społecznych UMŁ – </w:t>
      </w:r>
      <w:r w:rsidRPr="00275065">
        <w:rPr>
          <w:rStyle w:val="object"/>
          <w:rFonts w:ascii="Calibri" w:hAnsi="Calibri"/>
        </w:rPr>
        <w:t>grudzień 2015</w:t>
      </w:r>
      <w:r w:rsidRPr="00275065">
        <w:rPr>
          <w:rFonts w:ascii="Calibri" w:hAnsi="Calibri"/>
        </w:rPr>
        <w:t xml:space="preserve"> r.</w:t>
      </w:r>
      <w:r w:rsidR="004F1432" w:rsidRPr="004F1432">
        <w:t xml:space="preserve"> </w:t>
      </w:r>
      <w:r w:rsidR="004F1432" w:rsidRPr="004F1432">
        <w:rPr>
          <w:rFonts w:ascii="Calibri" w:hAnsi="Calibri"/>
        </w:rPr>
        <w:t>(wyniki szkół i poszczególnych uczniów w odniesieniu do miejsca zamieszkania);</w:t>
      </w:r>
    </w:p>
    <w:p w:rsidR="00182CB8" w:rsidRPr="00182CB8" w:rsidRDefault="00182CB8" w:rsidP="00182CB8">
      <w:pPr>
        <w:spacing w:after="0" w:line="320" w:lineRule="atLeast"/>
        <w:ind w:left="360" w:right="-142"/>
        <w:rPr>
          <w:rFonts w:ascii="Calibri" w:hAnsi="Calibri"/>
        </w:rPr>
      </w:pPr>
    </w:p>
    <w:p w:rsidR="00AC3215" w:rsidRDefault="00AC3215" w:rsidP="000E20FE">
      <w:pPr>
        <w:jc w:val="both"/>
      </w:pPr>
      <w:r>
        <w:t>5. N</w:t>
      </w:r>
      <w:r w:rsidRPr="00AC3215">
        <w:t>iewystarczając</w:t>
      </w:r>
      <w:r>
        <w:t xml:space="preserve">y poziom </w:t>
      </w:r>
      <w:r w:rsidRPr="00AC3215">
        <w:t>uczestnictwa w życiu publicznym i kulturalnym</w:t>
      </w:r>
      <w:r>
        <w:t xml:space="preserve">: </w:t>
      </w:r>
      <w:r w:rsidR="00182CB8">
        <w:t xml:space="preserve">waga </w:t>
      </w:r>
      <w:r>
        <w:t>10%</w:t>
      </w:r>
      <w:r w:rsidR="00182CB8" w:rsidRPr="00182CB8">
        <w:t>, na podstawie map:</w:t>
      </w:r>
    </w:p>
    <w:p w:rsidR="004F1432" w:rsidRPr="00476B37" w:rsidRDefault="004F1432" w:rsidP="004F1432">
      <w:pPr>
        <w:numPr>
          <w:ilvl w:val="0"/>
          <w:numId w:val="3"/>
        </w:numPr>
        <w:spacing w:after="0" w:line="320" w:lineRule="atLeast"/>
        <w:rPr>
          <w:rFonts w:ascii="Calibri" w:hAnsi="Calibri"/>
        </w:rPr>
      </w:pPr>
      <w:r w:rsidRPr="00476B37">
        <w:rPr>
          <w:rFonts w:ascii="Calibri" w:hAnsi="Calibri"/>
        </w:rPr>
        <w:t xml:space="preserve">Frekwencja wyborcza - na podstawie wyborów do Sejmu i Senatu Rzeczpospolitej Polskiej przeprowadzonych </w:t>
      </w:r>
      <w:r w:rsidRPr="00476B37">
        <w:rPr>
          <w:rStyle w:val="object"/>
          <w:rFonts w:ascii="Calibri" w:hAnsi="Calibri"/>
        </w:rPr>
        <w:t>25 października 2015</w:t>
      </w:r>
      <w:r w:rsidRPr="00476B37">
        <w:rPr>
          <w:rFonts w:ascii="Calibri" w:hAnsi="Calibri"/>
        </w:rPr>
        <w:t xml:space="preserve"> r. - dane ze strony Państwowej Komisji Wyborczej; </w:t>
      </w:r>
    </w:p>
    <w:p w:rsidR="004F1432" w:rsidRDefault="004F1432" w:rsidP="004F1432">
      <w:pPr>
        <w:numPr>
          <w:ilvl w:val="0"/>
          <w:numId w:val="3"/>
        </w:numPr>
        <w:spacing w:after="0" w:line="320" w:lineRule="atLeast"/>
        <w:rPr>
          <w:rFonts w:ascii="Calibri" w:hAnsi="Calibri"/>
        </w:rPr>
      </w:pPr>
      <w:r w:rsidRPr="00476B37">
        <w:rPr>
          <w:rFonts w:ascii="Calibri" w:hAnsi="Calibri"/>
        </w:rPr>
        <w:t xml:space="preserve">Liczba wypożyczonych książek – czytelnictwo – dane z Wydziału Kultury,  Departament Komunikacji Społecznej i Zdrowia UMŁ – </w:t>
      </w:r>
      <w:r w:rsidRPr="00476B37">
        <w:rPr>
          <w:rStyle w:val="object"/>
          <w:rFonts w:ascii="Calibri" w:hAnsi="Calibri"/>
        </w:rPr>
        <w:t>grudzień 2015</w:t>
      </w:r>
      <w:r w:rsidRPr="00476B37">
        <w:rPr>
          <w:rFonts w:ascii="Calibri" w:hAnsi="Calibri"/>
        </w:rPr>
        <w:t xml:space="preserve"> r.;</w:t>
      </w:r>
    </w:p>
    <w:p w:rsidR="004F1432" w:rsidRDefault="004F1432" w:rsidP="004F1432">
      <w:pPr>
        <w:spacing w:after="0" w:line="320" w:lineRule="atLeast"/>
        <w:rPr>
          <w:rFonts w:ascii="Calibri" w:hAnsi="Calibri"/>
        </w:rPr>
      </w:pPr>
    </w:p>
    <w:p w:rsidR="004F1432" w:rsidRPr="004F1432" w:rsidRDefault="004F1432" w:rsidP="00585F26">
      <w:pPr>
        <w:spacing w:after="0" w:line="320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W drugim kroku na podstawie zapisów </w:t>
      </w:r>
      <w:r w:rsidRPr="004F1432">
        <w:rPr>
          <w:rFonts w:ascii="Calibri" w:hAnsi="Calibri"/>
          <w:i/>
        </w:rPr>
        <w:t>Polityki przestrzennego rozwoju Łodzi</w:t>
      </w:r>
      <w:r>
        <w:rPr>
          <w:rFonts w:ascii="Calibri" w:hAnsi="Calibri"/>
        </w:rPr>
        <w:t xml:space="preserve"> dokonano zestawienia wyników </w:t>
      </w:r>
      <w:r w:rsidR="00585F26">
        <w:rPr>
          <w:rFonts w:ascii="Calibri" w:hAnsi="Calibri"/>
        </w:rPr>
        <w:t xml:space="preserve">badania rozkładu problemów społecznych </w:t>
      </w:r>
      <w:r>
        <w:rPr>
          <w:rFonts w:ascii="Calibri" w:hAnsi="Calibri"/>
        </w:rPr>
        <w:t xml:space="preserve">z </w:t>
      </w:r>
      <w:r w:rsidRPr="00585F26">
        <w:rPr>
          <w:rFonts w:ascii="Calibri" w:hAnsi="Calibri"/>
          <w:b/>
        </w:rPr>
        <w:t>występowaniem negatywnych zjawisk w sferze przestrzenno-funkcjonalnej i technicznej</w:t>
      </w:r>
      <w:r>
        <w:rPr>
          <w:rFonts w:ascii="Calibri" w:hAnsi="Calibri"/>
        </w:rPr>
        <w:t xml:space="preserve"> Miasta. Ich </w:t>
      </w:r>
      <w:r w:rsidR="00585F26">
        <w:rPr>
          <w:rFonts w:ascii="Calibri" w:hAnsi="Calibri"/>
        </w:rPr>
        <w:t>obszar wyznacza zdefiniowana w tym dokumencie Strefa Wielkomiejska.</w:t>
      </w:r>
    </w:p>
    <w:p w:rsidR="00046BB4" w:rsidRDefault="00046BB4" w:rsidP="000E20FE">
      <w:pPr>
        <w:jc w:val="both"/>
      </w:pPr>
    </w:p>
    <w:p w:rsidR="004F1432" w:rsidRDefault="00585F26" w:rsidP="000E20FE">
      <w:pPr>
        <w:jc w:val="both"/>
      </w:pPr>
      <w:r>
        <w:t>Finalnie k</w:t>
      </w:r>
      <w:r w:rsidR="004F1432">
        <w:t xml:space="preserve">ierując się danymi z powyższej analizy, a także propozycjami otrzymanymi w konsultacjach społecznych, które w dużej mierze </w:t>
      </w:r>
      <w:r w:rsidR="00046BB4">
        <w:t xml:space="preserve">pokrywały się z wynikami badań, </w:t>
      </w:r>
      <w:r w:rsidR="00046BB4" w:rsidRPr="00046BB4">
        <w:rPr>
          <w:b/>
        </w:rPr>
        <w:t>wyznaczono granice obszaru zdegradowanego</w:t>
      </w:r>
      <w:r w:rsidR="00046BB4">
        <w:t xml:space="preserve">, a obszar </w:t>
      </w:r>
      <w:r w:rsidR="00046BB4">
        <w:rPr>
          <w:sz w:val="23"/>
          <w:szCs w:val="23"/>
        </w:rPr>
        <w:t>cechujący się szczególną koncentracją negatywnych zjawisk, o których mowa w art. 9 ust. 1</w:t>
      </w:r>
      <w:r w:rsidR="00046BB4">
        <w:rPr>
          <w:sz w:val="23"/>
          <w:szCs w:val="23"/>
        </w:rPr>
        <w:t xml:space="preserve"> ustawy o rewitalizacji</w:t>
      </w:r>
      <w:r w:rsidR="00046BB4">
        <w:rPr>
          <w:sz w:val="23"/>
          <w:szCs w:val="23"/>
        </w:rPr>
        <w:t>, na którym z uwagi na istotne znaczenie dla rozwoju lokalnego gmina zamierza prowadzić rewitalizację, wyznacz</w:t>
      </w:r>
      <w:r w:rsidR="00046BB4">
        <w:rPr>
          <w:sz w:val="23"/>
          <w:szCs w:val="23"/>
        </w:rPr>
        <w:t>ono</w:t>
      </w:r>
      <w:r w:rsidR="00046BB4">
        <w:rPr>
          <w:sz w:val="23"/>
          <w:szCs w:val="23"/>
        </w:rPr>
        <w:t xml:space="preserve"> </w:t>
      </w:r>
      <w:r w:rsidR="00046BB4" w:rsidRPr="00046BB4">
        <w:rPr>
          <w:b/>
          <w:sz w:val="23"/>
          <w:szCs w:val="23"/>
        </w:rPr>
        <w:t>obszar rewitalizacji</w:t>
      </w:r>
      <w:r w:rsidR="00046BB4">
        <w:rPr>
          <w:sz w:val="23"/>
          <w:szCs w:val="23"/>
        </w:rPr>
        <w:t>.</w:t>
      </w:r>
    </w:p>
    <w:p w:rsidR="000E20FE" w:rsidRDefault="000E20FE" w:rsidP="000E20FE">
      <w:pPr>
        <w:jc w:val="both"/>
      </w:pPr>
    </w:p>
    <w:p w:rsidR="000E20FE" w:rsidRDefault="000E20FE" w:rsidP="000E20FE">
      <w:pPr>
        <w:jc w:val="both"/>
      </w:pPr>
    </w:p>
    <w:p w:rsidR="000E20FE" w:rsidRDefault="000E20FE" w:rsidP="000E20FE">
      <w:pPr>
        <w:jc w:val="both"/>
      </w:pPr>
    </w:p>
    <w:sectPr w:rsidR="000E2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5A0" w:rsidRDefault="006035A0" w:rsidP="00AC3215">
      <w:pPr>
        <w:spacing w:after="0" w:line="240" w:lineRule="auto"/>
      </w:pPr>
      <w:r>
        <w:separator/>
      </w:r>
    </w:p>
  </w:endnote>
  <w:endnote w:type="continuationSeparator" w:id="0">
    <w:p w:rsidR="006035A0" w:rsidRDefault="006035A0" w:rsidP="00AC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5A0" w:rsidRDefault="006035A0" w:rsidP="00AC3215">
      <w:pPr>
        <w:spacing w:after="0" w:line="240" w:lineRule="auto"/>
      </w:pPr>
      <w:r>
        <w:separator/>
      </w:r>
    </w:p>
  </w:footnote>
  <w:footnote w:type="continuationSeparator" w:id="0">
    <w:p w:rsidR="006035A0" w:rsidRDefault="006035A0" w:rsidP="00AC3215">
      <w:pPr>
        <w:spacing w:after="0" w:line="240" w:lineRule="auto"/>
      </w:pPr>
      <w:r>
        <w:continuationSeparator/>
      </w:r>
    </w:p>
  </w:footnote>
  <w:footnote w:id="1">
    <w:p w:rsidR="00182CB8" w:rsidRPr="00182CB8" w:rsidRDefault="00182CB8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182CB8">
        <w:rPr>
          <w:lang w:val="en-US"/>
        </w:rPr>
        <w:t xml:space="preserve"> </w:t>
      </w:r>
      <w:proofErr w:type="spellStart"/>
      <w:r w:rsidRPr="00182CB8">
        <w:rPr>
          <w:lang w:val="en-US"/>
        </w:rPr>
        <w:t>Greig</w:t>
      </w:r>
      <w:proofErr w:type="spellEnd"/>
      <w:r w:rsidRPr="00182CB8">
        <w:rPr>
          <w:lang w:val="en-US"/>
        </w:rPr>
        <w:t>, A., El-Haram, M., Horner, M. (2010) Using deprivation indices in regeneration: Does the response match the diagnosis?</w:t>
      </w:r>
      <w:r>
        <w:rPr>
          <w:lang w:val="en-US"/>
        </w:rPr>
        <w:t xml:space="preserve"> </w:t>
      </w:r>
      <w:r w:rsidRPr="00182CB8">
        <w:rPr>
          <w:lang w:val="en-US"/>
        </w:rPr>
        <w:t>Cities, 27 (2010), ss. 476-482.</w:t>
      </w:r>
    </w:p>
  </w:footnote>
  <w:footnote w:id="2">
    <w:p w:rsidR="00182CB8" w:rsidRDefault="00182CB8">
      <w:pPr>
        <w:pStyle w:val="Tekstprzypisudolnego"/>
      </w:pPr>
      <w:r>
        <w:rPr>
          <w:rStyle w:val="Odwoanieprzypisudolnego"/>
        </w:rPr>
        <w:footnoteRef/>
      </w:r>
      <w:r>
        <w:t xml:space="preserve"> Mapy stanowią załącznik do </w:t>
      </w:r>
      <w:r w:rsidRPr="00182CB8">
        <w:rPr>
          <w:i/>
        </w:rPr>
        <w:t>Polityki Społecznej dla Łodzi 2020+,</w:t>
      </w:r>
      <w:r>
        <w:t xml:space="preserve"> w wersji elektronicznej: </w:t>
      </w:r>
      <w:r w:rsidRPr="00182CB8">
        <w:t>http://gis2.mapa.lodz.pl/flexviewers/analiza_rewitalizacji/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5C7B"/>
    <w:multiLevelType w:val="hybridMultilevel"/>
    <w:tmpl w:val="BC4AFE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D5ACC"/>
    <w:multiLevelType w:val="multilevel"/>
    <w:tmpl w:val="FC947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0603697"/>
    <w:multiLevelType w:val="hybridMultilevel"/>
    <w:tmpl w:val="E6A01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A0E0B"/>
    <w:multiLevelType w:val="multilevel"/>
    <w:tmpl w:val="FC947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41D58D4"/>
    <w:multiLevelType w:val="multilevel"/>
    <w:tmpl w:val="FC947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7DFD19DF"/>
    <w:multiLevelType w:val="multilevel"/>
    <w:tmpl w:val="FC947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2F"/>
    <w:rsid w:val="00046BB4"/>
    <w:rsid w:val="000E20FE"/>
    <w:rsid w:val="00182CB8"/>
    <w:rsid w:val="00275065"/>
    <w:rsid w:val="002E592F"/>
    <w:rsid w:val="004F1432"/>
    <w:rsid w:val="00585F26"/>
    <w:rsid w:val="006035A0"/>
    <w:rsid w:val="007978A6"/>
    <w:rsid w:val="009D1B11"/>
    <w:rsid w:val="00AC3215"/>
    <w:rsid w:val="00E45CFE"/>
    <w:rsid w:val="00EC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98E0-71AF-4DF0-AE92-E4F7ED60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7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0FE"/>
    <w:pPr>
      <w:ind w:left="720"/>
      <w:contextualSpacing/>
    </w:pPr>
  </w:style>
  <w:style w:type="character" w:customStyle="1" w:styleId="object">
    <w:name w:val="object"/>
    <w:basedOn w:val="Domylnaczcionkaakapitu"/>
    <w:rsid w:val="00AC321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2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2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2CB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978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CC1A6-5787-400F-A171-9A08282F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Gill-Piątek</dc:creator>
  <cp:keywords/>
  <dc:description/>
  <cp:lastModifiedBy>Hanna Gill-Piątek</cp:lastModifiedBy>
  <cp:revision>4</cp:revision>
  <dcterms:created xsi:type="dcterms:W3CDTF">2016-02-01T11:55:00Z</dcterms:created>
  <dcterms:modified xsi:type="dcterms:W3CDTF">2016-02-01T13:13:00Z</dcterms:modified>
</cp:coreProperties>
</file>